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2F2B" w:rsidRDefault="002446D2">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1C2F2B" w:rsidRDefault="002446D2">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1.001223</w:t>
      </w:r>
    </w:p>
    <w:p w:rsidR="001C2F2B" w:rsidRDefault="002446D2">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870/QĐ-BXD</w:t>
      </w:r>
    </w:p>
    <w:p w:rsidR="001C2F2B" w:rsidRDefault="002446D2">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Thủ tục cấp Giấy phép nhập khẩu pháo hiệu hàng hải</w:t>
      </w:r>
    </w:p>
    <w:p w:rsidR="001C2F2B" w:rsidRDefault="002446D2">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1C2F2B" w:rsidRDefault="002446D2">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1C2F2B" w:rsidRDefault="002446D2">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1C2F2B" w:rsidRDefault="002446D2">
      <w:pPr>
        <w:spacing w:after="0" w:line="276" w:lineRule="auto"/>
        <w:jc w:val="both"/>
      </w:pPr>
      <w:r>
        <w:rPr>
          <w:rFonts w:ascii="Times New Roman" w:eastAsia="Times New Roman" w:hAnsi="Times New Roman" w:cs="Times New Roman"/>
          <w:b/>
          <w:sz w:val="26"/>
        </w:rPr>
        <w:t xml:space="preserve">Trình tự thực hiện: </w:t>
      </w:r>
    </w:p>
    <w:p w:rsidR="001C2F2B" w:rsidRDefault="001C2F2B">
      <w:pPr>
        <w:shd w:val="clear" w:color="auto" w:fill="F2F6F9"/>
        <w:spacing w:before="120" w:after="0" w:line="276" w:lineRule="auto"/>
        <w:jc w:val="both"/>
      </w:pPr>
    </w:p>
    <w:p w:rsidR="001C2F2B" w:rsidRDefault="002446D2">
      <w:pPr>
        <w:spacing w:after="0" w:line="276" w:lineRule="auto"/>
        <w:jc w:val="both"/>
      </w:pPr>
      <w:r>
        <w:rPr>
          <w:rFonts w:ascii="Times New Roman" w:eastAsia="Times New Roman" w:hAnsi="Times New Roman" w:cs="Times New Roman"/>
          <w:sz w:val="26"/>
        </w:rPr>
        <w:t>a) Nộp hồ sơ TTHC: Tổ chức gửi trực tiếp hoặc gửi qua hệ thống bưu chính hoặc bằng hình thức phù hợp khác 01 bộ hồ sơ đến Ủy ban nhân dân cấp tỉnh nơi cư trú của cá nhân hoặc nơi đặt trụ sở giao dịch của tổ chức, doanh nghiệp đề nghị</w:t>
      </w:r>
      <w:r>
        <w:rPr>
          <w:rFonts w:ascii="Times New Roman" w:eastAsia="Times New Roman" w:hAnsi="Times New Roman" w:cs="Times New Roman"/>
          <w:sz w:val="26"/>
        </w:rPr>
        <w:t xml:space="preserve"> cấp giấy phép.</w:t>
      </w:r>
    </w:p>
    <w:p w:rsidR="001C2F2B" w:rsidRDefault="002446D2">
      <w:pPr>
        <w:spacing w:after="0" w:line="276" w:lineRule="auto"/>
        <w:jc w:val="both"/>
      </w:pPr>
      <w:r>
        <w:rPr>
          <w:rFonts w:ascii="Times New Roman" w:eastAsia="Times New Roman" w:hAnsi="Times New Roman" w:cs="Times New Roman"/>
          <w:sz w:val="26"/>
        </w:rPr>
        <w:t>b) Giải quyết TTHC: - Trường hợp hồ sơ nộp trực tiếp, nếu hồ sơ đầy đủ thì cấp giấy biên nhận hồ sơ và hẹn trả kết quả theo thời hạn quy định; trường hợp hồ sơ không đầy đủ theo quy định thì trả lại ngay và hướng dẫn tổ chức, cá nhân hoàn t</w:t>
      </w:r>
      <w:r>
        <w:rPr>
          <w:rFonts w:ascii="Times New Roman" w:eastAsia="Times New Roman" w:hAnsi="Times New Roman" w:cs="Times New Roman"/>
          <w:sz w:val="26"/>
        </w:rPr>
        <w:t xml:space="preserve">hiện lại hồ sơ; - Trường hợp nhận qua dịch vụ bưu chính hoặc bằng hình thức phù hợp khác, nếu hồ sơ không đầy đủ theo quy định, trong thời hạn 02 ngày làm việc, kể từ ngày nhận được hồ sơ, Ủy ban nhân dân cấp tỉnh có văn bản gửi tổ chức, cá nhân nêu rõ lý </w:t>
      </w:r>
      <w:r>
        <w:rPr>
          <w:rFonts w:ascii="Times New Roman" w:eastAsia="Times New Roman" w:hAnsi="Times New Roman" w:cs="Times New Roman"/>
          <w:sz w:val="26"/>
        </w:rPr>
        <w:t>do và yêu cầu bổ sung, hoàn thiện hồ sơ; - Trong thời hạn 09 ngày làm việc, kể từ ngày nhận được hồ sơ hợp lệ, Ủy ban nhân dân cấp tỉnh cấp Giấy phép theo mẫu; trường hợp không cấp Giấy phép, Ủy ban nhân dân cấp tỉnh phải có văn bản trả lời và nêu rõ lý do</w:t>
      </w:r>
      <w:r>
        <w:rPr>
          <w:rFonts w:ascii="Times New Roman" w:eastAsia="Times New Roman" w:hAnsi="Times New Roman" w:cs="Times New Roman"/>
          <w:sz w:val="26"/>
        </w:rPr>
        <w:t>.</w:t>
      </w:r>
    </w:p>
    <w:p w:rsidR="001C2F2B" w:rsidRDefault="002446D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937"/>
        <w:gridCol w:w="981"/>
        <w:gridCol w:w="1219"/>
        <w:gridCol w:w="6274"/>
      </w:tblGrid>
      <w:tr w:rsidR="001C2F2B">
        <w:tblPrEx>
          <w:tblCellMar>
            <w:top w:w="0" w:type="dxa"/>
            <w:bottom w:w="0" w:type="dxa"/>
          </w:tblCellMar>
        </w:tblPrEx>
        <w:tc>
          <w:tcPr>
            <w:tcW w:w="1500" w:type="dxa"/>
          </w:tcPr>
          <w:p w:rsidR="001C2F2B" w:rsidRDefault="001C2F2B"/>
          <w:p w:rsidR="001C2F2B" w:rsidRDefault="002446D2">
            <w:pPr>
              <w:spacing w:after="0" w:line="276" w:lineRule="auto"/>
              <w:jc w:val="center"/>
            </w:pPr>
            <w:r>
              <w:rPr>
                <w:rFonts w:ascii="Times New Roman" w:eastAsia="Times New Roman" w:hAnsi="Times New Roman" w:cs="Times New Roman"/>
                <w:b/>
                <w:sz w:val="26"/>
              </w:rPr>
              <w:t>Hình thức nộp</w:t>
            </w:r>
          </w:p>
        </w:tc>
        <w:tc>
          <w:tcPr>
            <w:tcW w:w="2000" w:type="dxa"/>
          </w:tcPr>
          <w:p w:rsidR="001C2F2B" w:rsidRDefault="001C2F2B"/>
          <w:p w:rsidR="001C2F2B" w:rsidRDefault="002446D2">
            <w:pPr>
              <w:spacing w:after="0" w:line="276" w:lineRule="auto"/>
              <w:jc w:val="center"/>
            </w:pPr>
            <w:r>
              <w:rPr>
                <w:rFonts w:ascii="Times New Roman" w:eastAsia="Times New Roman" w:hAnsi="Times New Roman" w:cs="Times New Roman"/>
                <w:b/>
                <w:sz w:val="26"/>
              </w:rPr>
              <w:t>Thời hạn giải quyết</w:t>
            </w:r>
          </w:p>
        </w:tc>
        <w:tc>
          <w:tcPr>
            <w:tcW w:w="3500" w:type="dxa"/>
          </w:tcPr>
          <w:p w:rsidR="001C2F2B" w:rsidRDefault="001C2F2B"/>
          <w:p w:rsidR="001C2F2B" w:rsidRDefault="002446D2">
            <w:pPr>
              <w:spacing w:after="0" w:line="276" w:lineRule="auto"/>
              <w:jc w:val="center"/>
            </w:pPr>
            <w:r>
              <w:rPr>
                <w:rFonts w:ascii="Times New Roman" w:eastAsia="Times New Roman" w:hAnsi="Times New Roman" w:cs="Times New Roman"/>
                <w:b/>
                <w:sz w:val="26"/>
              </w:rPr>
              <w:t>Phí, lệ phí</w:t>
            </w:r>
          </w:p>
        </w:tc>
        <w:tc>
          <w:tcPr>
            <w:tcW w:w="3000" w:type="dxa"/>
          </w:tcPr>
          <w:p w:rsidR="001C2F2B" w:rsidRDefault="001C2F2B"/>
          <w:p w:rsidR="001C2F2B" w:rsidRDefault="002446D2">
            <w:pPr>
              <w:spacing w:after="0" w:line="276" w:lineRule="auto"/>
              <w:jc w:val="center"/>
            </w:pPr>
            <w:r>
              <w:rPr>
                <w:rFonts w:ascii="Times New Roman" w:eastAsia="Times New Roman" w:hAnsi="Times New Roman" w:cs="Times New Roman"/>
                <w:b/>
                <w:sz w:val="26"/>
              </w:rPr>
              <w:t>Mô tả</w:t>
            </w:r>
          </w:p>
        </w:tc>
      </w:tr>
      <w:tr w:rsidR="001C2F2B">
        <w:tblPrEx>
          <w:tblCellMar>
            <w:top w:w="0" w:type="dxa"/>
            <w:bottom w:w="0" w:type="dxa"/>
          </w:tblCellMar>
        </w:tblPrEx>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Trực tiếp</w:t>
            </w:r>
          </w:p>
        </w:tc>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9 Ngày làm việc</w:t>
            </w:r>
          </w:p>
        </w:tc>
        <w:tc>
          <w:tcPr>
            <w:tcW w:w="0" w:type="auto"/>
          </w:tcPr>
          <w:p w:rsidR="001C2F2B" w:rsidRDefault="001C2F2B"/>
          <w:p w:rsidR="001C2F2B" w:rsidRDefault="001C2F2B">
            <w:pPr>
              <w:spacing w:after="0" w:line="276" w:lineRule="auto"/>
            </w:pPr>
          </w:p>
        </w:tc>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 xml:space="preserve">Trong thời hạn 09 ngày làm việc, kể từ ngày nhận được hồ sơ hợp lệ, Ủy ban nhân dân cấp tỉnh cấp Giấy phép theo mẫu; trường hợp không cấp Giấy </w:t>
            </w:r>
            <w:r>
              <w:rPr>
                <w:rFonts w:ascii="Times New Roman" w:eastAsia="Times New Roman" w:hAnsi="Times New Roman" w:cs="Times New Roman"/>
                <w:sz w:val="26"/>
              </w:rPr>
              <w:t>phép, Ủy ban nhân dân cấp tỉnh phải có văn bản trả lời và nêu rõ lý do.</w:t>
            </w:r>
          </w:p>
        </w:tc>
      </w:tr>
      <w:tr w:rsidR="001C2F2B">
        <w:tblPrEx>
          <w:tblCellMar>
            <w:top w:w="0" w:type="dxa"/>
            <w:bottom w:w="0" w:type="dxa"/>
          </w:tblCellMar>
        </w:tblPrEx>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Trực tuyến</w:t>
            </w:r>
          </w:p>
        </w:tc>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9 Ngày làm việc</w:t>
            </w:r>
          </w:p>
        </w:tc>
        <w:tc>
          <w:tcPr>
            <w:tcW w:w="0" w:type="auto"/>
          </w:tcPr>
          <w:p w:rsidR="001C2F2B" w:rsidRDefault="001C2F2B"/>
          <w:p w:rsidR="001C2F2B" w:rsidRDefault="001C2F2B">
            <w:pPr>
              <w:spacing w:after="0" w:line="276" w:lineRule="auto"/>
            </w:pPr>
          </w:p>
        </w:tc>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Trong thời hạn 09 ngày làm việc, kể từ ngày nhận được hồ sơ hợp lệ, Ủy ban nhân dân cấp tỉnh cấp Giấy phép theo mẫu; trường hợp không cấp Giấy phép, Ủy</w:t>
            </w:r>
            <w:r>
              <w:rPr>
                <w:rFonts w:ascii="Times New Roman" w:eastAsia="Times New Roman" w:hAnsi="Times New Roman" w:cs="Times New Roman"/>
                <w:sz w:val="26"/>
              </w:rPr>
              <w:t xml:space="preserve"> ban nhân dân cấp tỉnh phải có văn bản trả lời và nêu rõ lý do.</w:t>
            </w:r>
          </w:p>
        </w:tc>
      </w:tr>
      <w:tr w:rsidR="001C2F2B">
        <w:tblPrEx>
          <w:tblCellMar>
            <w:top w:w="0" w:type="dxa"/>
            <w:bottom w:w="0" w:type="dxa"/>
          </w:tblCellMar>
        </w:tblPrEx>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Dịch vụ bưu chính</w:t>
            </w:r>
          </w:p>
        </w:tc>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9 Ngày làm việc</w:t>
            </w:r>
          </w:p>
        </w:tc>
        <w:tc>
          <w:tcPr>
            <w:tcW w:w="0" w:type="auto"/>
          </w:tcPr>
          <w:p w:rsidR="001C2F2B" w:rsidRDefault="001C2F2B"/>
          <w:p w:rsidR="001C2F2B" w:rsidRDefault="001C2F2B">
            <w:pPr>
              <w:spacing w:after="0" w:line="276" w:lineRule="auto"/>
            </w:pPr>
          </w:p>
        </w:tc>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 xml:space="preserve">Trong thời hạn 09 ngày làm việc, kể từ ngày nhận được hồ sơ hợp lệ, Ủy ban nhân dân cấp tỉnh cấp Giấy phép theo mẫu; trường hợp không cấp Giấy phép, Ủy </w:t>
            </w:r>
            <w:r>
              <w:rPr>
                <w:rFonts w:ascii="Times New Roman" w:eastAsia="Times New Roman" w:hAnsi="Times New Roman" w:cs="Times New Roman"/>
                <w:sz w:val="26"/>
              </w:rPr>
              <w:t>ban nhân dân cấp tỉnh phải có văn bản trả lời và nêu rõ lý do.</w:t>
            </w:r>
          </w:p>
        </w:tc>
      </w:tr>
    </w:tbl>
    <w:p w:rsidR="001C2F2B" w:rsidRDefault="002446D2">
      <w:pPr>
        <w:spacing w:before="240" w:after="0" w:line="276" w:lineRule="auto"/>
        <w:jc w:val="both"/>
      </w:pPr>
      <w:r>
        <w:rPr>
          <w:rFonts w:ascii="Times New Roman" w:eastAsia="Times New Roman" w:hAnsi="Times New Roman" w:cs="Times New Roman"/>
          <w:b/>
          <w:sz w:val="26"/>
        </w:rPr>
        <w:t xml:space="preserve">Thành phần hồ sơ: </w:t>
      </w:r>
    </w:p>
    <w:p w:rsidR="001C2F2B" w:rsidRDefault="002446D2">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358"/>
        <w:gridCol w:w="981"/>
        <w:gridCol w:w="1072"/>
      </w:tblGrid>
      <w:tr w:rsidR="001C2F2B">
        <w:tblPrEx>
          <w:tblCellMar>
            <w:top w:w="0" w:type="dxa"/>
            <w:bottom w:w="0" w:type="dxa"/>
          </w:tblCellMar>
        </w:tblPrEx>
        <w:tc>
          <w:tcPr>
            <w:tcW w:w="6000" w:type="dxa"/>
          </w:tcPr>
          <w:p w:rsidR="001C2F2B" w:rsidRDefault="001C2F2B"/>
          <w:p w:rsidR="001C2F2B" w:rsidRDefault="002446D2">
            <w:pPr>
              <w:spacing w:after="0" w:line="276" w:lineRule="auto"/>
              <w:jc w:val="center"/>
            </w:pPr>
            <w:r>
              <w:rPr>
                <w:rFonts w:ascii="Times New Roman" w:eastAsia="Times New Roman" w:hAnsi="Times New Roman" w:cs="Times New Roman"/>
                <w:b/>
                <w:sz w:val="26"/>
              </w:rPr>
              <w:t>Tên giấy tờ</w:t>
            </w:r>
          </w:p>
        </w:tc>
        <w:tc>
          <w:tcPr>
            <w:tcW w:w="2000" w:type="dxa"/>
          </w:tcPr>
          <w:p w:rsidR="001C2F2B" w:rsidRDefault="001C2F2B"/>
          <w:p w:rsidR="001C2F2B" w:rsidRDefault="002446D2">
            <w:pPr>
              <w:spacing w:after="0" w:line="276" w:lineRule="auto"/>
              <w:jc w:val="center"/>
            </w:pPr>
            <w:r>
              <w:rPr>
                <w:rFonts w:ascii="Times New Roman" w:eastAsia="Times New Roman" w:hAnsi="Times New Roman" w:cs="Times New Roman"/>
                <w:b/>
                <w:sz w:val="26"/>
              </w:rPr>
              <w:t>Mẫu đơn, tờ khai</w:t>
            </w:r>
          </w:p>
        </w:tc>
        <w:tc>
          <w:tcPr>
            <w:tcW w:w="2000" w:type="dxa"/>
          </w:tcPr>
          <w:p w:rsidR="001C2F2B" w:rsidRDefault="001C2F2B"/>
          <w:p w:rsidR="001C2F2B" w:rsidRDefault="002446D2">
            <w:pPr>
              <w:spacing w:after="0" w:line="276" w:lineRule="auto"/>
              <w:jc w:val="center"/>
            </w:pPr>
            <w:r>
              <w:rPr>
                <w:rFonts w:ascii="Times New Roman" w:eastAsia="Times New Roman" w:hAnsi="Times New Roman" w:cs="Times New Roman"/>
                <w:b/>
                <w:sz w:val="26"/>
              </w:rPr>
              <w:t>Số lượng</w:t>
            </w:r>
          </w:p>
        </w:tc>
      </w:tr>
      <w:tr w:rsidR="001C2F2B">
        <w:tblPrEx>
          <w:tblCellMar>
            <w:top w:w="0" w:type="dxa"/>
            <w:bottom w:w="0" w:type="dxa"/>
          </w:tblCellMar>
        </w:tblPrEx>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 xml:space="preserve">Văn bản đề nghị nhập khẩu pháo hiệu hàng hải, trong đó ghi rõ chủng loại, số lượng, nước sản xuất, quy cách sản phẩm, đặc </w:t>
            </w:r>
            <w:r>
              <w:rPr>
                <w:rFonts w:ascii="Times New Roman" w:eastAsia="Times New Roman" w:hAnsi="Times New Roman" w:cs="Times New Roman"/>
                <w:sz w:val="26"/>
              </w:rPr>
              <w:t>điểm và công dụng, ký mã hiệu, thời hạn sử dụng của từng loại; thời hạn nhập khẩu</w:t>
            </w:r>
          </w:p>
        </w:tc>
        <w:tc>
          <w:tcPr>
            <w:tcW w:w="0" w:type="auto"/>
          </w:tcPr>
          <w:p w:rsidR="001C2F2B" w:rsidRDefault="001C2F2B"/>
        </w:tc>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C2F2B">
        <w:tblPrEx>
          <w:tblCellMar>
            <w:top w:w="0" w:type="dxa"/>
            <w:bottom w:w="0" w:type="dxa"/>
          </w:tblCellMar>
        </w:tblPrEx>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Bản dịch có chứng thực Giấy chứng nhận xuất xứ của cơ quan, tổ chức có thẩm quyền của nước sản xuất xác nhận việc pháo hiệu hàng hải đã được thử n</w:t>
            </w:r>
            <w:r>
              <w:rPr>
                <w:rFonts w:ascii="Times New Roman" w:eastAsia="Times New Roman" w:hAnsi="Times New Roman" w:cs="Times New Roman"/>
                <w:sz w:val="26"/>
              </w:rPr>
              <w:t>ghiệm phù hợp với các quy định của Tổ chức Hàng hải quốc tế</w:t>
            </w:r>
          </w:p>
        </w:tc>
        <w:tc>
          <w:tcPr>
            <w:tcW w:w="0" w:type="auto"/>
          </w:tcPr>
          <w:p w:rsidR="001C2F2B" w:rsidRDefault="001C2F2B"/>
        </w:tc>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C2F2B">
        <w:tblPrEx>
          <w:tblCellMar>
            <w:top w:w="0" w:type="dxa"/>
            <w:bottom w:w="0" w:type="dxa"/>
          </w:tblCellMar>
        </w:tblPrEx>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Báo cáo của tổ chức, cá nhân về tình hình thực hiện Giấy phép nhập khẩu của năm trước đó và bản theo dõi Giấy phép nhập khẩu của Chi cục Hải quan cửa khẩu (nếu có).</w:t>
            </w:r>
          </w:p>
        </w:tc>
        <w:tc>
          <w:tcPr>
            <w:tcW w:w="0" w:type="auto"/>
          </w:tcPr>
          <w:p w:rsidR="001C2F2B" w:rsidRDefault="001C2F2B"/>
        </w:tc>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1C2F2B" w:rsidRDefault="002446D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Tổ chức (không bao gồm doanh nghiệp, HTX), Tổ chức nước ngoài, Hợp tác xã</w:t>
      </w:r>
    </w:p>
    <w:p w:rsidR="001C2F2B" w:rsidRDefault="002446D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1C2F2B" w:rsidRDefault="002446D2">
      <w:pPr>
        <w:spacing w:after="0" w:line="276" w:lineRule="auto"/>
        <w:jc w:val="both"/>
      </w:pPr>
      <w:r>
        <w:rPr>
          <w:rFonts w:ascii="Times New Roman" w:eastAsia="Times New Roman" w:hAnsi="Times New Roman" w:cs="Times New Roman"/>
          <w:b/>
          <w:sz w:val="26"/>
        </w:rPr>
        <w:t>Cơ q</w:t>
      </w:r>
      <w:r>
        <w:rPr>
          <w:rFonts w:ascii="Times New Roman" w:eastAsia="Times New Roman" w:hAnsi="Times New Roman" w:cs="Times New Roman"/>
          <w:b/>
          <w:sz w:val="26"/>
        </w:rPr>
        <w:t xml:space="preserve">uan có thẩm quyền: </w:t>
      </w:r>
      <w:r>
        <w:rPr>
          <w:rFonts w:ascii="Times New Roman" w:eastAsia="Times New Roman" w:hAnsi="Times New Roman" w:cs="Times New Roman"/>
          <w:sz w:val="26"/>
        </w:rPr>
        <w:t>Không có thông tin</w:t>
      </w:r>
    </w:p>
    <w:p w:rsidR="001C2F2B" w:rsidRDefault="002446D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1C2F2B" w:rsidRDefault="002446D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1C2F2B" w:rsidRDefault="002446D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1C2F2B" w:rsidRDefault="002446D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nhập khẩu pháo hiệu hàng hải.</w:t>
      </w:r>
    </w:p>
    <w:p w:rsidR="001C2F2B" w:rsidRDefault="002446D2">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788"/>
        <w:gridCol w:w="4760"/>
        <w:gridCol w:w="1045"/>
        <w:gridCol w:w="1818"/>
      </w:tblGrid>
      <w:tr w:rsidR="001C2F2B">
        <w:tblPrEx>
          <w:tblCellMar>
            <w:top w:w="0" w:type="dxa"/>
            <w:bottom w:w="0" w:type="dxa"/>
          </w:tblCellMar>
        </w:tblPrEx>
        <w:tc>
          <w:tcPr>
            <w:tcW w:w="2000" w:type="dxa"/>
          </w:tcPr>
          <w:p w:rsidR="001C2F2B" w:rsidRDefault="001C2F2B"/>
          <w:p w:rsidR="001C2F2B" w:rsidRDefault="002446D2">
            <w:pPr>
              <w:spacing w:after="0" w:line="276" w:lineRule="auto"/>
              <w:jc w:val="center"/>
            </w:pPr>
            <w:r>
              <w:rPr>
                <w:rFonts w:ascii="Times New Roman" w:eastAsia="Times New Roman" w:hAnsi="Times New Roman" w:cs="Times New Roman"/>
                <w:b/>
                <w:sz w:val="26"/>
              </w:rPr>
              <w:t>Số ký hiệu</w:t>
            </w:r>
          </w:p>
        </w:tc>
        <w:tc>
          <w:tcPr>
            <w:tcW w:w="3500" w:type="dxa"/>
          </w:tcPr>
          <w:p w:rsidR="001C2F2B" w:rsidRDefault="001C2F2B"/>
          <w:p w:rsidR="001C2F2B" w:rsidRDefault="002446D2">
            <w:pPr>
              <w:spacing w:after="0" w:line="276" w:lineRule="auto"/>
              <w:jc w:val="center"/>
            </w:pPr>
            <w:r>
              <w:rPr>
                <w:rFonts w:ascii="Times New Roman" w:eastAsia="Times New Roman" w:hAnsi="Times New Roman" w:cs="Times New Roman"/>
                <w:b/>
                <w:sz w:val="26"/>
              </w:rPr>
              <w:t>Trích yếu</w:t>
            </w:r>
          </w:p>
        </w:tc>
        <w:tc>
          <w:tcPr>
            <w:tcW w:w="1500" w:type="dxa"/>
          </w:tcPr>
          <w:p w:rsidR="001C2F2B" w:rsidRDefault="001C2F2B"/>
          <w:p w:rsidR="001C2F2B" w:rsidRDefault="002446D2">
            <w:pPr>
              <w:spacing w:after="0" w:line="276" w:lineRule="auto"/>
              <w:jc w:val="center"/>
            </w:pPr>
            <w:r>
              <w:rPr>
                <w:rFonts w:ascii="Times New Roman" w:eastAsia="Times New Roman" w:hAnsi="Times New Roman" w:cs="Times New Roman"/>
                <w:b/>
                <w:sz w:val="26"/>
              </w:rPr>
              <w:t>Ngày ban hành</w:t>
            </w:r>
          </w:p>
        </w:tc>
        <w:tc>
          <w:tcPr>
            <w:tcW w:w="3000" w:type="dxa"/>
          </w:tcPr>
          <w:p w:rsidR="001C2F2B" w:rsidRDefault="001C2F2B"/>
          <w:p w:rsidR="001C2F2B" w:rsidRDefault="002446D2">
            <w:pPr>
              <w:spacing w:after="0" w:line="276" w:lineRule="auto"/>
              <w:jc w:val="center"/>
            </w:pPr>
            <w:r>
              <w:rPr>
                <w:rFonts w:ascii="Times New Roman" w:eastAsia="Times New Roman" w:hAnsi="Times New Roman" w:cs="Times New Roman"/>
                <w:b/>
                <w:sz w:val="26"/>
              </w:rPr>
              <w:t>Cơ quan ban hành</w:t>
            </w:r>
          </w:p>
        </w:tc>
      </w:tr>
      <w:tr w:rsidR="001C2F2B">
        <w:tblPrEx>
          <w:tblCellMar>
            <w:top w:w="0" w:type="dxa"/>
            <w:bottom w:w="0" w:type="dxa"/>
          </w:tblCellMar>
        </w:tblPrEx>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95/2015/QH13</w:t>
            </w:r>
          </w:p>
        </w:tc>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Hàng hải</w:t>
            </w:r>
          </w:p>
        </w:tc>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25-11-2015</w:t>
            </w:r>
          </w:p>
        </w:tc>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Quốc Hội</w:t>
            </w:r>
          </w:p>
        </w:tc>
      </w:tr>
      <w:tr w:rsidR="001C2F2B">
        <w:tblPrEx>
          <w:tblCellMar>
            <w:top w:w="0" w:type="dxa"/>
            <w:bottom w:w="0" w:type="dxa"/>
          </w:tblCellMar>
        </w:tblPrEx>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70/2016/NĐ-CP</w:t>
            </w:r>
          </w:p>
        </w:tc>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Về điều kiện cung cấp dịch vụ bảo đảm an toàn hàng hải</w:t>
            </w:r>
          </w:p>
        </w:tc>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01-07-2016</w:t>
            </w:r>
          </w:p>
        </w:tc>
        <w:tc>
          <w:tcPr>
            <w:tcW w:w="0" w:type="auto"/>
          </w:tcPr>
          <w:p w:rsidR="001C2F2B" w:rsidRDefault="001C2F2B"/>
        </w:tc>
      </w:tr>
      <w:tr w:rsidR="001C2F2B">
        <w:tblPrEx>
          <w:tblCellMar>
            <w:top w:w="0" w:type="dxa"/>
            <w:bottom w:w="0" w:type="dxa"/>
          </w:tblCellMar>
        </w:tblPrEx>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144/2025/NĐ-CP</w:t>
            </w:r>
          </w:p>
        </w:tc>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 xml:space="preserve">quy định về phân quyền, phân cấp trong lĩnh vực quản lý nhà nước của Bộ </w:t>
            </w:r>
            <w:r>
              <w:rPr>
                <w:rFonts w:ascii="Times New Roman" w:eastAsia="Times New Roman" w:hAnsi="Times New Roman" w:cs="Times New Roman"/>
                <w:sz w:val="26"/>
              </w:rPr>
              <w:t>Xây dựng</w:t>
            </w:r>
          </w:p>
        </w:tc>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12-06-2025</w:t>
            </w:r>
          </w:p>
        </w:tc>
        <w:tc>
          <w:tcPr>
            <w:tcW w:w="0" w:type="auto"/>
          </w:tcPr>
          <w:p w:rsidR="001C2F2B" w:rsidRDefault="001C2F2B"/>
          <w:p w:rsidR="001C2F2B" w:rsidRDefault="002446D2">
            <w:pPr>
              <w:spacing w:after="0" w:line="276" w:lineRule="auto"/>
            </w:pPr>
            <w:r>
              <w:rPr>
                <w:rFonts w:ascii="Times New Roman" w:eastAsia="Times New Roman" w:hAnsi="Times New Roman" w:cs="Times New Roman"/>
                <w:sz w:val="26"/>
              </w:rPr>
              <w:t>Chính phủ</w:t>
            </w:r>
          </w:p>
        </w:tc>
      </w:tr>
    </w:tbl>
    <w:p w:rsidR="001C2F2B" w:rsidRDefault="002446D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1C2F2B" w:rsidRDefault="002446D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1C2F2B" w:rsidRDefault="002446D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1C2F2B">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1C2F2B"/>
    <w:rsid w:val="001C2F2B"/>
    <w:rsid w:val="002446D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6790A3-905B-47A8-8AA3-04AB1F7A0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553</Words>
  <Characters>3155</Characters>
  <Application>Microsoft Office Word</Application>
  <DocSecurity>0</DocSecurity>
  <Lines>26</Lines>
  <Paragraphs>7</Paragraphs>
  <ScaleCrop>false</ScaleCrop>
  <Company>Microsoft</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